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0CF0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</w:rPr>
        <w:drawing>
          <wp:inline distT="0" distB="0" distL="0" distR="0" wp14:anchorId="13C95A3C" wp14:editId="2E97793A">
            <wp:extent cx="762000" cy="8572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D2D1A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LICEO ARTISTICO STATALE</w:t>
      </w:r>
    </w:p>
    <w:p w14:paraId="6F781715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TREVISO</w:t>
      </w:r>
    </w:p>
    <w:p w14:paraId="6D1A7C42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VERBALE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N….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2C1DE517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CLASSE:…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..</w:t>
      </w:r>
    </w:p>
    <w:p w14:paraId="11EA799A" w14:textId="77777777" w:rsidR="00CE2CA5" w:rsidRDefault="00CE2C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6B47BF0B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 giorno …………………, alle ore 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. nell’Aula ……… del Liceo Artistico Statale di Treviso, previa regolare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convocazione,  i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docenti della classe ………… si riuniscono per la discussione del seguente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O.d.G.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14:paraId="3A78E861" w14:textId="77777777" w:rsidR="00CE2CA5" w:rsidRDefault="00CE2C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B77B3EB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spacing w:after="125" w:line="268" w:lineRule="auto"/>
        <w:ind w:left="929" w:hanging="360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1. Valutazione dell’esperienza di mobilità internazio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nale individuale e assegnazione del credito scolastico per lo studente XXX. </w:t>
      </w:r>
    </w:p>
    <w:p w14:paraId="4A3E20AD" w14:textId="77777777" w:rsidR="00CE2CA5" w:rsidRDefault="00CE2C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4C7872AD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Presiede la riunione 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. Svolge il ruolo di segretario ……………………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43D42AEB" w14:textId="77777777" w:rsidR="00CE2CA5" w:rsidRDefault="00CE2C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D7F4B91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Sono presenti i professori:</w:t>
      </w:r>
    </w:p>
    <w:p w14:paraId="5782DD7B" w14:textId="77777777" w:rsidR="00CE2CA5" w:rsidRDefault="00CE2C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9638" w:type="dxa"/>
        <w:tblInd w:w="-23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6117"/>
      </w:tblGrid>
      <w:tr w:rsidR="00CE2CA5" w14:paraId="7D6C2825" w14:textId="77777777">
        <w:tc>
          <w:tcPr>
            <w:tcW w:w="3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778F6C" w14:textId="77777777" w:rsidR="00CE2CA5" w:rsidRDefault="00C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C616F9" w14:textId="77777777" w:rsidR="00CE2CA5" w:rsidRDefault="00C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Materia</w:t>
            </w:r>
          </w:p>
        </w:tc>
      </w:tr>
      <w:tr w:rsidR="00CE2CA5" w14:paraId="08D0C4AF" w14:textId="77777777">
        <w:tc>
          <w:tcPr>
            <w:tcW w:w="352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CFD8A" w14:textId="77777777" w:rsidR="00CE2CA5" w:rsidRDefault="00CE2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A778C3" w14:textId="77777777" w:rsidR="00CE2CA5" w:rsidRDefault="00C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ITALIANO</w:t>
            </w:r>
          </w:p>
        </w:tc>
      </w:tr>
      <w:tr w:rsidR="00CE2CA5" w14:paraId="5573375C" w14:textId="77777777">
        <w:tc>
          <w:tcPr>
            <w:tcW w:w="352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C161A02" w14:textId="77777777" w:rsidR="00CE2CA5" w:rsidRDefault="00CE2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F08D8E" w14:textId="77777777" w:rsidR="00CE2CA5" w:rsidRDefault="00C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STORIA</w:t>
            </w:r>
          </w:p>
        </w:tc>
      </w:tr>
      <w:tr w:rsidR="00CE2CA5" w14:paraId="3C6788D6" w14:textId="77777777">
        <w:tc>
          <w:tcPr>
            <w:tcW w:w="352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1F95CB" w14:textId="77777777" w:rsidR="00CE2CA5" w:rsidRDefault="00CE2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C270A1" w14:textId="77777777" w:rsidR="00CE2CA5" w:rsidRDefault="00C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FILOSOFIA</w:t>
            </w:r>
          </w:p>
        </w:tc>
      </w:tr>
      <w:tr w:rsidR="00CE2CA5" w14:paraId="124124C2" w14:textId="77777777">
        <w:tc>
          <w:tcPr>
            <w:tcW w:w="352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F943FE" w14:textId="77777777" w:rsidR="00CE2CA5" w:rsidRDefault="00CE2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267B3" w14:textId="77777777" w:rsidR="00CE2CA5" w:rsidRDefault="00C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STORIA DELL'ARTE</w:t>
            </w:r>
          </w:p>
        </w:tc>
      </w:tr>
      <w:tr w:rsidR="00CE2CA5" w14:paraId="459E6FB4" w14:textId="77777777">
        <w:tc>
          <w:tcPr>
            <w:tcW w:w="352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2BDB26" w14:textId="77777777" w:rsidR="00CE2CA5" w:rsidRDefault="00CE2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83353E" w14:textId="77777777" w:rsidR="00CE2CA5" w:rsidRDefault="00C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LINGUA STRANIERA (INGLESE)</w:t>
            </w:r>
          </w:p>
        </w:tc>
      </w:tr>
      <w:tr w:rsidR="00CE2CA5" w14:paraId="0E86844B" w14:textId="77777777">
        <w:tc>
          <w:tcPr>
            <w:tcW w:w="352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A3020AF" w14:textId="77777777" w:rsidR="00CE2CA5" w:rsidRDefault="00CE2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62C0AD" w14:textId="77777777" w:rsidR="00CE2CA5" w:rsidRDefault="00C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MATEMATICA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  FISICA</w:t>
            </w:r>
            <w:proofErr w:type="gramEnd"/>
          </w:p>
        </w:tc>
      </w:tr>
      <w:tr w:rsidR="00CE2CA5" w14:paraId="118D568D" w14:textId="77777777">
        <w:tc>
          <w:tcPr>
            <w:tcW w:w="352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98DE3BF" w14:textId="77777777" w:rsidR="00CE2CA5" w:rsidRDefault="00CE2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670090" w14:textId="77777777" w:rsidR="00CE2CA5" w:rsidRDefault="00C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RELIGIONE</w:t>
            </w:r>
          </w:p>
        </w:tc>
      </w:tr>
      <w:tr w:rsidR="00CE2CA5" w14:paraId="3B3D2AA4" w14:textId="77777777">
        <w:tc>
          <w:tcPr>
            <w:tcW w:w="352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3E2893" w14:textId="77777777" w:rsidR="00CE2CA5" w:rsidRDefault="00CE2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11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A788F0" w14:textId="77777777" w:rsidR="00CE2CA5" w:rsidRDefault="00CD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…..................................</w:t>
            </w:r>
          </w:p>
        </w:tc>
      </w:tr>
    </w:tbl>
    <w:p w14:paraId="3499AC0C" w14:textId="77777777" w:rsidR="00CE2CA5" w:rsidRDefault="00CE2C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66A135E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Sono assenti i docenti: …...................................……</w:t>
      </w:r>
    </w:p>
    <w:p w14:paraId="2E75A9CF" w14:textId="77777777" w:rsidR="00CE2CA5" w:rsidRDefault="00CE2C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3002790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Riconosciuta la validità dell’adunanza per il numero degli intervenuti, il Presidente dichiara aperta la seduta, dando inizio alla discussione sugli argomenti all’ordine del giorno precedentemente comunicati e da cui viene verbalizzato in forma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 xml:space="preserve">sintetica  </w:t>
      </w:r>
      <w:r>
        <w:rPr>
          <w:rFonts w:ascii="Verdana" w:eastAsia="Verdana" w:hAnsi="Verdana" w:cs="Verdana"/>
          <w:color w:val="000000"/>
          <w:sz w:val="20"/>
          <w:szCs w:val="20"/>
        </w:rPr>
        <w:t>quanto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segue.</w:t>
      </w:r>
    </w:p>
    <w:p w14:paraId="67FAB672" w14:textId="77777777" w:rsidR="00CE2CA5" w:rsidRDefault="00CE2CA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18362C6D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spacing w:after="166" w:line="256" w:lineRule="auto"/>
        <w:ind w:left="284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1. Valutazione dell’esperienza di mobilità internazionale individuale e assegnazione del credito scolastico per lo studente XXX. </w:t>
      </w:r>
    </w:p>
    <w:p w14:paraId="7153127C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spacing w:after="119" w:line="268" w:lineRule="auto"/>
        <w:ind w:left="-15" w:firstLine="28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riunione fa seguito al colloquio, iniziato alle ore XXX e conclusosi alle ore XXX, in cui lo studente ha presentato tutti gli aspetti della sua esperienza all’estero (percorso di studi, contatto con la cultura locale, vita nella famiglia ospitante, punt</w:t>
      </w:r>
      <w:r>
        <w:rPr>
          <w:rFonts w:ascii="Verdana" w:eastAsia="Verdana" w:hAnsi="Verdana" w:cs="Verdana"/>
          <w:color w:val="000000"/>
          <w:sz w:val="20"/>
          <w:szCs w:val="20"/>
        </w:rPr>
        <w:t>i di forza/debolezza dell’esperienza, eventuali esperienze di PCTO, etc.) e ha intrattenuto una discussione sui nuclei fondamentali (indicati entro il mese di maggio dal Consiglio di classe) delle discipline caratterizzanti il corso di studi non affrontate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nel corso dell’anno all’estero. </w:t>
      </w:r>
    </w:p>
    <w:p w14:paraId="1AF9046D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spacing w:after="151" w:line="268" w:lineRule="auto"/>
        <w:ind w:left="-15" w:firstLine="28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 pervenire ad una valutazione complessiva ed all’assegnazione del credito si esamina la seguente documentazione rilasciata dalla scuola ospitante e presente nel fascicolo personale dello studente:  </w:t>
      </w:r>
    </w:p>
    <w:p w14:paraId="5E2B9A4B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68" w:lineRule="auto"/>
        <w:ind w:right="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49CB2123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68" w:lineRule="auto"/>
        <w:ind w:right="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10C31927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68" w:lineRule="auto"/>
        <w:ind w:right="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27A8B40D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spacing w:after="149" w:line="268" w:lineRule="auto"/>
        <w:ind w:left="-15" w:firstLine="28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Si esamina altresì la documentazione relativa alle valutazioni disciplinari espresse dalla scuola ospitante:  </w:t>
      </w:r>
    </w:p>
    <w:p w14:paraId="0E102A1F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68" w:lineRule="auto"/>
        <w:ind w:right="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1D2CA11C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68" w:lineRule="auto"/>
        <w:ind w:right="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542D6B57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1" w:line="268" w:lineRule="auto"/>
        <w:ind w:right="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6D7BBCF9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spacing w:after="148"/>
        <w:ind w:left="-15" w:firstLine="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Dal colloquio di presentazione dell’esperienza nella sua globalità emerge che lo studente ha acquisito le seguenti competenze:  </w:t>
      </w:r>
    </w:p>
    <w:p w14:paraId="3F0D8A87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68" w:lineRule="auto"/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05883071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68" w:lineRule="auto"/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54B718E5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20" w:line="268" w:lineRule="auto"/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0F42EBBA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ind w:left="29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credito scolastico relativo all’anno scolastico precedente è di punti XXX. </w:t>
      </w:r>
    </w:p>
    <w:p w14:paraId="1559EC94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spacing w:after="146"/>
        <w:ind w:left="29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Dal colloquio emerge la padronanza dei seguenti nuclei essenziali delle discipline di indirizzo:  </w:t>
      </w:r>
    </w:p>
    <w:p w14:paraId="35D5B179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68" w:lineRule="auto"/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Disciplina: nuclei tematici; </w:t>
      </w:r>
    </w:p>
    <w:p w14:paraId="62064247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68" w:lineRule="auto"/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25297709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" w:line="268" w:lineRule="auto"/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42C8548F" w14:textId="77777777" w:rsidR="00CE2CA5" w:rsidRDefault="00CD7D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7" w:line="268" w:lineRule="auto"/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XXX; </w:t>
      </w:r>
    </w:p>
    <w:p w14:paraId="1A60C5F2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spacing w:after="119"/>
        <w:ind w:left="-15" w:firstLine="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 i soggiorni all’estero di breve durata ci si riferisce alle valutazioni del primo periodo didattico dell’anno scolastico corrente. </w:t>
      </w:r>
    </w:p>
    <w:p w14:paraId="0D96A025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spacing w:after="224"/>
        <w:ind w:left="-15" w:firstLine="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Considerato quanto riportato, il Consiglio di classe ammette lo studente alla classe XXX per l’anno scolastico XXX assegnando un credito scolastico pari a punti </w:t>
      </w:r>
    </w:p>
    <w:p w14:paraId="668A6D00" w14:textId="77777777" w:rsidR="00CE2CA5" w:rsidRDefault="00CD7DD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37" w:line="256" w:lineRule="auto"/>
        <w:ind w:right="7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XXX </w:t>
      </w:r>
    </w:p>
    <w:p w14:paraId="678496BA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spacing w:after="127"/>
        <w:ind w:left="294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Essendo terminati gli argomenti di discussione, dopo aver redatto, letto ed approvato all’unanimità il presente verbale, il Presidente dichiara sciolta la seduta.</w:t>
      </w:r>
    </w:p>
    <w:p w14:paraId="649755D4" w14:textId="77777777" w:rsidR="00CE2CA5" w:rsidRDefault="00CE2CA5">
      <w:bookmarkStart w:id="0" w:name="_gjdgxs" w:colFirst="0" w:colLast="0"/>
      <w:bookmarkEnd w:id="0"/>
    </w:p>
    <w:p w14:paraId="1CC49450" w14:textId="77777777" w:rsidR="00CE2CA5" w:rsidRDefault="00CE2C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C7A82ED" w14:textId="77777777" w:rsidR="00CE2CA5" w:rsidRDefault="00CD7D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SEGRETARIO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IL PRESIDENTE</w:t>
      </w:r>
    </w:p>
    <w:p w14:paraId="42FD8AF9" w14:textId="77777777" w:rsidR="00CE2CA5" w:rsidRDefault="00CE2C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sectPr w:rsidR="00CE2CA5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846"/>
    <w:multiLevelType w:val="multilevel"/>
    <w:tmpl w:val="5D5043AE"/>
    <w:lvl w:ilvl="0">
      <w:start w:val="1"/>
      <w:numFmt w:val="bullet"/>
      <w:lvlText w:val="•"/>
      <w:lvlJc w:val="left"/>
      <w:pPr>
        <w:ind w:left="100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72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44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1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8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60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32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604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7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7B5B2AAF"/>
    <w:multiLevelType w:val="multilevel"/>
    <w:tmpl w:val="7010852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A5"/>
    <w:rsid w:val="00CD7DD7"/>
    <w:rsid w:val="00C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5ECC"/>
  <w15:docId w15:val="{D3E0DF23-AA8C-42CC-8F1F-FD378F7A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3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vice1</dc:creator>
  <cp:lastModifiedBy>vice1</cp:lastModifiedBy>
  <cp:revision>2</cp:revision>
  <dcterms:created xsi:type="dcterms:W3CDTF">2022-12-23T08:59:00Z</dcterms:created>
  <dcterms:modified xsi:type="dcterms:W3CDTF">2022-12-23T08:59:00Z</dcterms:modified>
</cp:coreProperties>
</file>